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053" w:rsidRDefault="00123053" w:rsidP="00123053">
      <w:bookmarkStart w:id="0" w:name="_GoBack"/>
      <w:r>
        <w:rPr>
          <w:rFonts w:hint="eastAsia"/>
        </w:rPr>
        <w:t>多重原因助德国财政盈余创新高</w:t>
      </w:r>
    </w:p>
    <w:bookmarkEnd w:id="0"/>
    <w:p w:rsidR="00123053" w:rsidRDefault="00123053" w:rsidP="00123053">
      <w:r>
        <w:t xml:space="preserve">2018年09月11日 </w:t>
      </w:r>
    </w:p>
    <w:p w:rsidR="00123053" w:rsidRDefault="00123053" w:rsidP="00123053">
      <w:r>
        <w:t xml:space="preserve">来源：文汇报 </w:t>
      </w:r>
    </w:p>
    <w:p w:rsidR="00123053" w:rsidRDefault="00123053" w:rsidP="00123053">
      <w:r>
        <w:t>作者：周方</w:t>
      </w:r>
    </w:p>
    <w:p w:rsidR="00123053" w:rsidRDefault="00123053" w:rsidP="00123053">
      <w:r>
        <w:rPr>
          <w:rFonts w:hint="eastAsia"/>
        </w:rPr>
        <w:t xml:space="preserve">　　据德国联邦统计局最新信息，今年上半年德国财政盈余达</w:t>
      </w:r>
      <w:r>
        <w:t>481亿欧元，为同期国内生产总值的2.9%，创下了历史新高。除了一些高福利的北欧国家，如此之高的财政盈余十分罕见。在大型经济体普遍面临财政赤字的情况下，德国却独树一帜，自2014年以来一直保持着财政盈余的局面，而且正在不断扩大着规模。是什么造成了德国的财政盈余屡创新高？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德国政府努力寻求长期财政平衡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财政盈余意味着财政收入高于财政支出。今年上半年，德国财政收入比去年同期增长</w:t>
      </w:r>
      <w:r>
        <w:t>5%，达7618亿欧元。而相比之下，财政支出约7137亿欧元，同比只增加1.2%，因此形成了大量盈余的局面。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德国的财政收入中，税收和社保收入各占据了将近半壁江山。德国经济近年来保持了强劲的增长势头：在国内市场，建筑业、汽车和机械制造正在推动经济稳步向前。出口方面，德国已经保持了四年以上的增长势头。在贸易保护主义盛行的今日，德国在去年依然保持了</w:t>
      </w:r>
      <w:r>
        <w:t>6.2%的出口增长，蝉联全球贸易顺差冠军。诚然，强劲的出口与欧洲央行持续宽松的货币政策有很大关系，但德国产品本身的强大竞争力才是其根本原因。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经济的景气导致了企业盈利的上升和员工收入的提高，也把失业率降至历史低点。这一方面推动了税收的主要组成部分——增值税和个人所得税的大幅增长，联邦政府税收同比增长了</w:t>
      </w:r>
      <w:r>
        <w:t>5.2%；另一方面，社保基金收入亦获得了显著提升，并超过了社保支出。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与此同时，虽然上半年德国政府投资的扩张速度快于以往，公务员的工资支出也有所提高，但是德国财政支出的总增长却依然较为缓慢。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德国政府漫长的组阁过程是支出增速减缓的重要原因。虽然大选前，旧政府提出过较高的支出预算，但在选举之后，由于</w:t>
      </w:r>
      <w:r>
        <w:t>2018年的预算迟迟不能启用，旧政府只能服从临时预算管理，造成了实际支出被压制。如今，新预算正式生效。可以预见，追赶效应将导致联邦政府开支在下半年快步前进。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此外，欧洲央行自</w:t>
      </w:r>
      <w:r>
        <w:t>2014年以来执行了长期的零利率政策，再加上这几年德国由于财政盈余而不断减少债务余额，这使得德国的国债利息负担进一步降低。2017年德国的利息支出就比2016年下降了约10%。利息开支的减少进一步促进了盈余的扩大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另外值得注意的是，虽然从季度或者年度来看，德国目前的确处于财政盈余状态。但从一个更长的时间范围观察，财政赤字的年份依然占据了绝对多数。近年来的修正应该被视作德国政府寻求长期财政平衡的努力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依赖财政赤字发展经济与德国传统相悖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总体而言，若一个政府债务较低或者略有盈余，决策者可以有较大的空间应对突如其来</w:t>
      </w:r>
      <w:r>
        <w:rPr>
          <w:rFonts w:hint="eastAsia"/>
        </w:rPr>
        <w:lastRenderedPageBreak/>
        <w:t>的经济危机。此外，政府可以花更少的钱来偿还债务利息，有利于进一步降低债务。对于德国而言，即便</w:t>
      </w:r>
      <w:r>
        <w:t>2010年的债务余额达到历史最高的占GDP81%，也没人会把这个国家和债务危机联系在一起，反而期盼着它慷慨解囊，去拯救那些危机中的欧元区国家。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当今世界，许多政治家热衷于追随</w:t>
      </w:r>
      <w:proofErr w:type="gramStart"/>
      <w:r>
        <w:rPr>
          <w:rFonts w:hint="eastAsia"/>
        </w:rPr>
        <w:t>凯</w:t>
      </w:r>
      <w:proofErr w:type="gramEnd"/>
      <w:r>
        <w:rPr>
          <w:rFonts w:hint="eastAsia"/>
        </w:rPr>
        <w:t>恩斯的脚步，高度依赖财政赤字来发展经济。在这方面，德国显得有些格格不入。传统上，德国深受新自由主义弗莱堡学派的影响，即国家在一定框架和秩序范围内减少干预，从而保障个人经济活动的自由。所以，即使在全球债务不断膨胀的当下，德国政府也不会放任债务高涨，以国家意志推动需求和经济的发展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所以，德国的财政盈余将首先用于削减债务。这一努力其实早在盈余实现前的几年就已经开始了。</w:t>
      </w:r>
      <w:r>
        <w:t>2014年实现财政盈余以后，德国的债务余额逐步缩减，而且步伐越来越快。财政盈余也将用于减税。从2013年开始，德国的个人所得税额起征点每年都有1.5%-2%的提高，2018年的起征点调整到了9000欧元，可谓减税的一个进步。而据经合组织测算，德国单身者2016年的综合税负占收入的49.4%，排名世界第三。在全球减税风潮愈演愈烈的今天，德国减税之路依然漫漫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此外，财政盈余还将投入德国的基础设施。网络、公路、轨道、教育、医疗设施、工业的数字化转型都需要大量资金。德国的基建投资在今年上半年增长了</w:t>
      </w:r>
      <w:r>
        <w:t>12.3%，但这还远远不够。国际货币经济组织针对投资不足的问题，多次要求德国加大投资力度。德国新政府在成立之初也曾对此做出过承诺。其中，信息化建设更是当务之急，“千兆社会”“光纤入户”“5G网络”都写入了组阁协议。目前德国充足的财政盈余是这些计划的实施的重要保证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外部环境的不确定性因素带来挑战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然而，根据最新的国家财政计划，联邦政府的投资额在</w:t>
      </w:r>
      <w:r>
        <w:t>2019年至2022年间将保持每年379亿欧元不变，甚至略低于2018年的数值。这一做法完全可以理解，毕竟扩张性财政政策并不属于德国的传统，财政“有序”、不举新债、保持收支平衡，是这届政府的重要目标。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这种平衡的追求跨越了任期，也超越了党派。新任财长</w:t>
      </w:r>
      <w:proofErr w:type="gramStart"/>
      <w:r>
        <w:rPr>
          <w:rFonts w:hint="eastAsia"/>
        </w:rPr>
        <w:t>绍</w:t>
      </w:r>
      <w:proofErr w:type="gramEnd"/>
      <w:r>
        <w:rPr>
          <w:rFonts w:hint="eastAsia"/>
        </w:rPr>
        <w:t>尔</w:t>
      </w:r>
      <w:proofErr w:type="gramStart"/>
      <w:r>
        <w:rPr>
          <w:rFonts w:hint="eastAsia"/>
        </w:rPr>
        <w:t>茨</w:t>
      </w:r>
      <w:proofErr w:type="gramEnd"/>
      <w:r>
        <w:rPr>
          <w:rFonts w:hint="eastAsia"/>
        </w:rPr>
        <w:t>和他的前任朔伊布</w:t>
      </w:r>
      <w:proofErr w:type="gramStart"/>
      <w:r>
        <w:rPr>
          <w:rFonts w:hint="eastAsia"/>
        </w:rPr>
        <w:t>勒尽管</w:t>
      </w:r>
      <w:proofErr w:type="gramEnd"/>
      <w:r>
        <w:rPr>
          <w:rFonts w:hint="eastAsia"/>
        </w:rPr>
        <w:t>党派不同，但对于压缩公共债务、保持财政平衡、打击逃税漏税等方面，却保持了相当的一致性。朔伊布勒曾为德国定下了</w:t>
      </w:r>
      <w:r>
        <w:t>2020年前不再负债的目标，而</w:t>
      </w:r>
      <w:proofErr w:type="gramStart"/>
      <w:r>
        <w:t>绍</w:t>
      </w:r>
      <w:proofErr w:type="gramEnd"/>
      <w:r>
        <w:t>尔</w:t>
      </w:r>
      <w:proofErr w:type="gramStart"/>
      <w:r>
        <w:t>茨</w:t>
      </w:r>
      <w:proofErr w:type="gramEnd"/>
      <w:r>
        <w:t>也在新政府的预算中把这一点充分体现了出来；在朔伊布勒主导下，2015年起生效的新税法降低了免于罚款逃税额下限，提高了罚款金额，而</w:t>
      </w:r>
      <w:proofErr w:type="gramStart"/>
      <w:r>
        <w:t>绍</w:t>
      </w:r>
      <w:proofErr w:type="gramEnd"/>
      <w:r>
        <w:t>尔</w:t>
      </w:r>
      <w:proofErr w:type="gramStart"/>
      <w:r>
        <w:t>茨</w:t>
      </w:r>
      <w:proofErr w:type="gramEnd"/>
      <w:r>
        <w:t>上任后不久就组织起草了针对网络商户偷税漏税的法律文件，以减少财政收入的流失。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可以判断，要让德国政府在近几年内重回财政赤字的局面是十分困难的，因为德国的出口依然出色，贸易顺差将维持多年，经济增长仍会维持不错速度。税收还将在一段时间内保持高位，而且德国政府也不会在短期内大手大脚花钱。</w:t>
      </w:r>
      <w:r>
        <w:t>2019年，德国还将进行5G频率使用许可拍卖，这部分收益将相当可观。2010年进行的3G频率拍卖曾让德国政府大赚508亿欧元，一举使财政扭亏为盈。</w:t>
      </w:r>
    </w:p>
    <w:p w:rsidR="00123053" w:rsidRDefault="00123053" w:rsidP="00123053"/>
    <w:p w:rsidR="00123053" w:rsidRDefault="00123053" w:rsidP="00123053">
      <w:r>
        <w:rPr>
          <w:rFonts w:hint="eastAsia"/>
        </w:rPr>
        <w:t xml:space="preserve">　　尽管如此，贸易争端加剧、欧元区国家可能发生的衰退、英国脱欧、新兴市场的危机等都带来了许多外部环境的不确定性因素；而德国国内工资和物价的上涨、不动产泡沫的升级也将抑制经济的持续发展；展望未来，人口老龄化和新生劳动力的缺乏不但会威胁到社保体系，更会引发消费、生产等一系列严重的经济问题。实现长期的财政收支平衡对于德国政府而言依然是一个不小的难题。</w:t>
      </w:r>
      <w:r>
        <w:t xml:space="preserve"> </w:t>
      </w:r>
    </w:p>
    <w:p w:rsidR="000F3CF3" w:rsidRPr="00123053" w:rsidRDefault="00123053" w:rsidP="00123053">
      <w:r>
        <w:rPr>
          <w:rFonts w:hint="eastAsia"/>
        </w:rPr>
        <w:t xml:space="preserve">　（作者系上海外国语大学德语系副教授）</w:t>
      </w:r>
    </w:p>
    <w:sectPr w:rsidR="000F3CF3" w:rsidRPr="00123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2E"/>
    <w:rsid w:val="000F3CF3"/>
    <w:rsid w:val="00123053"/>
    <w:rsid w:val="0099333B"/>
    <w:rsid w:val="00CA2D5B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12EA"/>
  <w15:chartTrackingRefBased/>
  <w15:docId w15:val="{FC8C8DCF-C27E-4F31-81F8-772F01A9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E"/>
            <w:right w:val="none" w:sz="0" w:space="0" w:color="auto"/>
          </w:divBdr>
          <w:divsChild>
            <w:div w:id="14813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8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486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59663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0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503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1734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6064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4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353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Fang</cp:lastModifiedBy>
  <cp:revision>2</cp:revision>
  <dcterms:created xsi:type="dcterms:W3CDTF">2020-04-16T02:58:00Z</dcterms:created>
  <dcterms:modified xsi:type="dcterms:W3CDTF">2020-04-16T02:58:00Z</dcterms:modified>
</cp:coreProperties>
</file>